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94B63" w14:textId="77777777" w:rsidR="00420848" w:rsidRPr="003E652C" w:rsidRDefault="00420848" w:rsidP="00420848">
      <w:pPr>
        <w:spacing w:before="240" w:after="240" w:line="240" w:lineRule="auto"/>
        <w:rPr>
          <w:rFonts w:ascii="Arial Black" w:eastAsia="MS Mincho" w:hAnsi="Arial Black" w:cs="Times New Roman"/>
          <w:sz w:val="32"/>
          <w:szCs w:val="32"/>
          <w:lang w:eastAsia="fi-FI"/>
        </w:rPr>
      </w:pPr>
      <w:r w:rsidRPr="003E652C">
        <w:rPr>
          <w:rFonts w:ascii="Arial Black" w:eastAsia="MS Mincho" w:hAnsi="Arial Black" w:cs="Times New Roman"/>
          <w:b/>
          <w:bCs/>
          <w:sz w:val="32"/>
          <w:szCs w:val="32"/>
          <w:lang w:eastAsia="fi-FI"/>
        </w:rPr>
        <w:t xml:space="preserve">Esimerkki </w:t>
      </w:r>
      <w:r>
        <w:rPr>
          <w:rFonts w:ascii="Arial Black" w:eastAsia="MS Mincho" w:hAnsi="Arial Black" w:cs="Times New Roman"/>
          <w:b/>
          <w:bCs/>
          <w:sz w:val="32"/>
          <w:szCs w:val="32"/>
          <w:lang w:eastAsia="fi-FI"/>
        </w:rPr>
        <w:t>e</w:t>
      </w:r>
      <w:r w:rsidRPr="003E652C">
        <w:rPr>
          <w:rFonts w:ascii="Arial Black" w:eastAsia="MS Mincho" w:hAnsi="Arial Black" w:cs="Times New Roman"/>
          <w:b/>
          <w:bCs/>
          <w:sz w:val="32"/>
          <w:szCs w:val="32"/>
          <w:lang w:eastAsia="fi-FI"/>
        </w:rPr>
        <w:t xml:space="preserve">täosallistumisesta </w:t>
      </w:r>
      <w:r>
        <w:rPr>
          <w:rFonts w:ascii="Arial Black" w:eastAsia="MS Mincho" w:hAnsi="Arial Black" w:cs="Times New Roman"/>
          <w:b/>
          <w:bCs/>
          <w:sz w:val="32"/>
          <w:szCs w:val="32"/>
          <w:lang w:eastAsia="fi-FI"/>
        </w:rPr>
        <w:t>p</w:t>
      </w:r>
      <w:r w:rsidRPr="003E652C">
        <w:rPr>
          <w:rFonts w:ascii="Arial Black" w:eastAsia="MS Mincho" w:hAnsi="Arial Black" w:cs="Times New Roman"/>
          <w:b/>
          <w:bCs/>
          <w:sz w:val="32"/>
          <w:szCs w:val="32"/>
          <w:lang w:eastAsia="fi-FI"/>
        </w:rPr>
        <w:t>ostin tai sähköpostin välityksellä varsinaiseen yhtiökokoukseen</w:t>
      </w:r>
    </w:p>
    <w:p w14:paraId="06CDEDD5" w14:textId="77777777" w:rsidR="00420848" w:rsidRPr="003E652C" w:rsidRDefault="00420848" w:rsidP="00420848">
      <w:pPr>
        <w:spacing w:before="240" w:after="240" w:line="240" w:lineRule="auto"/>
        <w:rPr>
          <w:rFonts w:eastAsia="MS Mincho" w:cs="Times New Roman"/>
          <w:sz w:val="22"/>
          <w:szCs w:val="24"/>
          <w:lang w:eastAsia="fi-FI"/>
        </w:rPr>
      </w:pPr>
      <w:r w:rsidRPr="003E652C">
        <w:rPr>
          <w:rFonts w:eastAsia="MS Mincho" w:cs="Times New Roman"/>
          <w:b/>
          <w:bCs/>
          <w:sz w:val="22"/>
          <w:szCs w:val="24"/>
          <w:lang w:eastAsia="fi-FI"/>
        </w:rPr>
        <w:t>Tämä on</w:t>
      </w:r>
      <w:r>
        <w:rPr>
          <w:rFonts w:eastAsia="MS Mincho" w:cs="Times New Roman"/>
          <w:b/>
          <w:bCs/>
          <w:sz w:val="22"/>
          <w:szCs w:val="24"/>
          <w:lang w:eastAsia="fi-FI"/>
        </w:rPr>
        <w:t xml:space="preserve"> Isännöintiliiton ja Kiinteistöliiton yhdessä laatima,</w:t>
      </w:r>
      <w:r w:rsidRPr="003E652C">
        <w:rPr>
          <w:rFonts w:eastAsia="MS Mincho" w:cs="Times New Roman"/>
          <w:b/>
          <w:bCs/>
          <w:sz w:val="22"/>
          <w:szCs w:val="24"/>
          <w:lang w:eastAsia="fi-FI"/>
        </w:rPr>
        <w:t xml:space="preserve"> havainnollistava esimerkki etäosallistumisesta postin tai sähköpostin välityksellä varsinaisessa yhtiökokouksessa käsiteltäviin asioihin. Esimerkkiliitteen hyödyntäminen tapahtuu käyttäjän vastuulla. Liitteen yhteensopivuus yhtiön tilanteeseen kannattaa varmistaa asiantuntijalta. </w:t>
      </w:r>
    </w:p>
    <w:p w14:paraId="2529C831" w14:textId="77777777" w:rsidR="00420848" w:rsidRDefault="00420848" w:rsidP="00420848">
      <w:pPr>
        <w:spacing w:before="240" w:after="240" w:line="240" w:lineRule="auto"/>
        <w:rPr>
          <w:rFonts w:eastAsia="MS Mincho" w:cs="Times New Roman"/>
          <w:sz w:val="22"/>
          <w:szCs w:val="24"/>
          <w:lang w:eastAsia="fi-FI"/>
        </w:rPr>
      </w:pPr>
    </w:p>
    <w:p w14:paraId="4EF1C209" w14:textId="77777777" w:rsidR="00420848" w:rsidRPr="003E652C" w:rsidRDefault="00420848" w:rsidP="00420848">
      <w:p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Asunto-osakeyhtiölain 6 luvun 3 § sääntelee varsinaisessa yhtiökokouksessa esitettäviä ja päätettäviä asioita.</w:t>
      </w:r>
    </w:p>
    <w:p w14:paraId="2BADC2FD" w14:textId="77777777" w:rsidR="00420848" w:rsidRPr="003E652C" w:rsidRDefault="00420848" w:rsidP="00420848">
      <w:p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 xml:space="preserve">Asunto-osakeyhtiölain 6 luvun 17 § sääntelee etäosallistumisen mahdollisuuksia. </w:t>
      </w:r>
    </w:p>
    <w:p w14:paraId="441E3715" w14:textId="77777777" w:rsidR="00420848" w:rsidRPr="003E652C" w:rsidRDefault="00420848" w:rsidP="00420848">
      <w:p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Hallitus voi määrätä, että kokoukseen voidaan osallistua myös kokouspaikan ulkopuolelta postin tai sähköpostin välityksellä, jos yhtiöjärjestys ei tätä estä. Edellytyksenä menettelyn käyttämiselle on, että osallistumisoikeus ja ääntenlaskennan oikeellisuus voidaan selvittää tavallisessa yhtiökokouksessa noudatettaviin menettelyihin verrattavalla tavalla.</w:t>
      </w:r>
    </w:p>
    <w:p w14:paraId="5633EBEE" w14:textId="77777777" w:rsidR="00420848" w:rsidRPr="003E652C" w:rsidRDefault="00420848" w:rsidP="00420848">
      <w:p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 xml:space="preserve">Mahdollisuudesta osallistua kokoukseen postin välityksellä on mainittava yhtiökokouskutsussa. </w:t>
      </w:r>
    </w:p>
    <w:p w14:paraId="20EEF85B" w14:textId="77777777" w:rsidR="00420848" w:rsidRPr="003E652C" w:rsidRDefault="00420848" w:rsidP="00420848">
      <w:pPr>
        <w:spacing w:before="240" w:after="240" w:line="240" w:lineRule="auto"/>
        <w:rPr>
          <w:rFonts w:eastAsia="MS Mincho" w:cs="Times New Roman"/>
          <w:b/>
          <w:bCs/>
          <w:sz w:val="22"/>
          <w:szCs w:val="24"/>
          <w:lang w:eastAsia="fi-FI"/>
        </w:rPr>
      </w:pPr>
      <w:r w:rsidRPr="003E652C">
        <w:rPr>
          <w:rFonts w:eastAsia="MS Mincho" w:cs="Times New Roman"/>
          <w:b/>
          <w:bCs/>
          <w:sz w:val="22"/>
          <w:szCs w:val="24"/>
          <w:lang w:eastAsia="fi-FI"/>
        </w:rPr>
        <w:t>Huomioitavia asioita</w:t>
      </w:r>
    </w:p>
    <w:p w14:paraId="0ABA8E4F" w14:textId="77777777" w:rsidR="00420848" w:rsidRPr="003E652C" w:rsidRDefault="00420848" w:rsidP="00420848">
      <w:p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 xml:space="preserve">Esimerkki muodostuu kahdesta osasta; kokouskutsusta ja osakkaan täytettävästä vastausosasta, jolla osakas ilmoittaa kantansa yhtiökokouksessa käsiteltäviin asioihin ennen yhtiökokousta.  </w:t>
      </w:r>
    </w:p>
    <w:p w14:paraId="31F2189C" w14:textId="77777777" w:rsidR="00420848" w:rsidRPr="003E652C" w:rsidRDefault="00420848" w:rsidP="00420848">
      <w:p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Osakkaita kannattaa ohjeistaa palauttamaan vastausosa, jossa osakas ilmoittaa etukäteen kantansa yhtiökokouksessa käsiteltäviin asioihin viimeistään yhtiökokousta edeltävänä päivänä tiettyyn kellonaikaan mennessä. Ohjeistukseen tulee ilmoittaa osoite, johon vastausosat tulee palauttaa.</w:t>
      </w:r>
    </w:p>
    <w:p w14:paraId="2FA6DD15" w14:textId="77777777" w:rsidR="00420848" w:rsidRPr="003E652C" w:rsidRDefault="00420848" w:rsidP="00420848">
      <w:pPr>
        <w:spacing w:before="240" w:after="240" w:line="240" w:lineRule="auto"/>
        <w:rPr>
          <w:rFonts w:eastAsia="MS Mincho" w:cs="Times New Roman"/>
          <w:sz w:val="22"/>
          <w:szCs w:val="24"/>
          <w:lang w:eastAsia="fi-FI"/>
        </w:rPr>
      </w:pPr>
      <w:r w:rsidRPr="003E652C">
        <w:rPr>
          <w:rFonts w:eastAsia="MS Mincho" w:cs="Times New Roman"/>
          <w:sz w:val="22"/>
          <w:szCs w:val="24"/>
          <w:lang w:eastAsia="fi-FI"/>
        </w:rPr>
        <w:t xml:space="preserve">Minimoidakseen käyntejä mm. isännöitsijätoimistolla koronaepidemian aikana on suositeltavaa, että kaikki </w:t>
      </w:r>
      <w:proofErr w:type="spellStart"/>
      <w:r w:rsidRPr="003E652C">
        <w:rPr>
          <w:rFonts w:eastAsia="MS Mincho" w:cs="Times New Roman"/>
          <w:sz w:val="22"/>
          <w:szCs w:val="24"/>
          <w:lang w:eastAsia="fi-FI"/>
        </w:rPr>
        <w:t>AOYL:n</w:t>
      </w:r>
      <w:proofErr w:type="spellEnd"/>
      <w:r w:rsidRPr="003E652C">
        <w:rPr>
          <w:rFonts w:eastAsia="MS Mincho" w:cs="Times New Roman"/>
          <w:sz w:val="22"/>
          <w:szCs w:val="24"/>
          <w:lang w:eastAsia="fi-FI"/>
        </w:rPr>
        <w:t xml:space="preserve"> 6 luvun 22 §:n mukaiset kokousasiakirjat sekä muut yhtiökokoukseen liittyvät asiakirjat toimitetaan osakkaille yhtiökokouskutsun liitteinä. </w:t>
      </w:r>
    </w:p>
    <w:p w14:paraId="6824F483" w14:textId="77777777" w:rsidR="00206960" w:rsidRDefault="00206960">
      <w:bookmarkStart w:id="0" w:name="_GoBack"/>
      <w:bookmarkEnd w:id="0"/>
    </w:p>
    <w:sectPr w:rsidR="0020696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848"/>
    <w:rsid w:val="00206960"/>
    <w:rsid w:val="0042084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002B8"/>
  <w15:chartTrackingRefBased/>
  <w15:docId w15:val="{E2884C01-563F-40DE-93F7-C0AE7B24C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HAnsi"/>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20848"/>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1650</Characters>
  <Application>Microsoft Office Word</Application>
  <DocSecurity>0</DocSecurity>
  <Lines>39</Lines>
  <Paragraphs>26</Paragraphs>
  <ScaleCrop>false</ScaleCrop>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Kirsi Salo</dc:creator>
  <cp:keywords/>
  <dc:description/>
  <cp:lastModifiedBy>Kirsi Salo</cp:lastModifiedBy>
  <cp:revision>1</cp:revision>
  <dcterms:created xsi:type="dcterms:W3CDTF">2020-04-02T11:41:00Z</dcterms:created>
  <dcterms:modified xsi:type="dcterms:W3CDTF">2020-04-02T11:41:00Z</dcterms:modified>
</cp:coreProperties>
</file>